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6C733F" w:rsidRDefault="00D27BB0" w:rsidP="00D27BB0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Jefatura General de Farmacia</w:t>
      </w:r>
    </w:p>
    <w:p w:rsidR="00C35CCB" w:rsidRPr="00C35CCB" w:rsidRDefault="00D27BB0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</w:t>
      </w:r>
    </w:p>
    <w:p w:rsidR="00C01B74" w:rsidRDefault="00C01B74" w:rsidP="008960DF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8960DF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D27BB0">
        <w:rPr>
          <w:rFonts w:ascii="Arial" w:hAnsi="Arial" w:cs="Arial"/>
          <w:color w:val="000000"/>
          <w:sz w:val="24"/>
          <w:szCs w:val="24"/>
        </w:rPr>
        <w:t xml:space="preserve">la </w:t>
      </w:r>
      <w:r w:rsidR="00D27BB0" w:rsidRPr="00D27BB0">
        <w:rPr>
          <w:rFonts w:ascii="Arial" w:hAnsi="Arial" w:cs="Arial"/>
          <w:color w:val="000000"/>
          <w:sz w:val="24"/>
          <w:szCs w:val="24"/>
        </w:rPr>
        <w:t>Jefatura General de Farmacia</w:t>
      </w:r>
      <w:r w:rsidR="008960D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D27BB0">
        <w:rPr>
          <w:rFonts w:ascii="Arial" w:hAnsi="Arial" w:cs="Arial"/>
          <w:color w:val="000000"/>
          <w:sz w:val="24"/>
          <w:szCs w:val="24"/>
        </w:rPr>
        <w:t>de la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27BB0" w:rsidRPr="00D27BB0" w:rsidRDefault="00D27BB0" w:rsidP="00D27BB0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contextualSpacing/>
        <w:jc w:val="both"/>
        <w:rPr>
          <w:rFonts w:ascii="Arial" w:hAnsi="Arial" w:cs="Arial"/>
          <w:sz w:val="24"/>
          <w:szCs w:val="24"/>
        </w:rPr>
      </w:pPr>
      <w:r w:rsidRPr="00D27BB0">
        <w:rPr>
          <w:rFonts w:ascii="Arial" w:hAnsi="Arial" w:cs="Arial"/>
          <w:sz w:val="24"/>
          <w:szCs w:val="24"/>
        </w:rPr>
        <w:t>Para realizar el llenado del reporte de sospecha de reacción adversa acorde a la NOM-220-SSA1-2016 así como validación de indicaciones médicas, pedidos de medicamentos, seguimiento de retiros de medicamentos e indicaciones.</w:t>
      </w:r>
    </w:p>
    <w:p w:rsidR="00D27BB0" w:rsidRPr="00D27BB0" w:rsidRDefault="00D27BB0" w:rsidP="00D27BB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sz w:val="24"/>
          <w:szCs w:val="24"/>
          <w:lang w:eastAsia="es-MX"/>
        </w:rPr>
      </w:pPr>
      <w:r w:rsidRPr="00D27BB0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Validar de la medicación del paciente mediante revisión en físico de los medicamentos solicitados en la hoja de indicación médica para </w:t>
      </w:r>
      <w:r w:rsidRPr="00D27B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captura de antibióticos en el sistema de medicación automatizado </w:t>
      </w:r>
      <w:proofErr w:type="spellStart"/>
      <w:r w:rsidRPr="00D27B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pixys</w:t>
      </w:r>
      <w:proofErr w:type="spellEnd"/>
      <w:r w:rsidRPr="00D27B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27BB0" w:rsidRPr="00D27BB0" w:rsidRDefault="00D27BB0" w:rsidP="00D27BB0">
      <w:pPr>
        <w:numPr>
          <w:ilvl w:val="0"/>
          <w:numId w:val="19"/>
        </w:numPr>
        <w:spacing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27BB0">
        <w:rPr>
          <w:rFonts w:ascii="Arial" w:hAnsi="Arial" w:cs="Arial"/>
          <w:color w:val="000000" w:themeColor="text1"/>
          <w:sz w:val="24"/>
          <w:szCs w:val="24"/>
        </w:rPr>
        <w:t>Recepción de solicitudes de medicamentos para su surtido.</w:t>
      </w:r>
    </w:p>
    <w:p w:rsidR="00D27BB0" w:rsidRPr="00D27BB0" w:rsidRDefault="00D27BB0" w:rsidP="00D27BB0">
      <w:pPr>
        <w:spacing w:line="240" w:lineRule="auto"/>
        <w:ind w:left="72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D27BB0" w:rsidRPr="00D27BB0" w:rsidRDefault="00D27BB0" w:rsidP="00D27BB0">
      <w:pPr>
        <w:numPr>
          <w:ilvl w:val="0"/>
          <w:numId w:val="19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B0">
        <w:rPr>
          <w:rFonts w:ascii="Arial" w:hAnsi="Arial" w:cs="Arial"/>
          <w:sz w:val="24"/>
          <w:szCs w:val="24"/>
        </w:rPr>
        <w:t>Recepción de registros de subrogación de centro de mezclas para trámite de facturación.</w:t>
      </w:r>
    </w:p>
    <w:p w:rsidR="00D27BB0" w:rsidRPr="00D27BB0" w:rsidRDefault="00D27BB0" w:rsidP="00D27BB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sz w:val="24"/>
          <w:szCs w:val="24"/>
          <w:lang w:eastAsia="es-MX"/>
        </w:rPr>
      </w:pPr>
      <w:r w:rsidRPr="00D27BB0">
        <w:rPr>
          <w:rFonts w:ascii="Arial" w:eastAsia="Calibri" w:hAnsi="Arial" w:cs="Arial"/>
          <w:color w:val="000000" w:themeColor="text1"/>
          <w:sz w:val="24"/>
          <w:szCs w:val="24"/>
          <w:lang w:eastAsia="es-MX"/>
        </w:rPr>
        <w:t>Llenado de bitácoras con el pedido de medicamentos de alto costo para el surtido correspondiente.</w:t>
      </w:r>
    </w:p>
    <w:p w:rsidR="00D27BB0" w:rsidRPr="00D27BB0" w:rsidRDefault="00D27BB0" w:rsidP="00D27BB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sz w:val="24"/>
          <w:szCs w:val="24"/>
          <w:lang w:eastAsia="es-MX"/>
        </w:rPr>
      </w:pPr>
      <w:r w:rsidRPr="00D27BB0">
        <w:rPr>
          <w:rFonts w:ascii="Arial" w:eastAsia="Arial" w:hAnsi="Arial" w:cs="Arial"/>
          <w:color w:val="000000"/>
          <w:sz w:val="24"/>
          <w:szCs w:val="24"/>
          <w:lang w:eastAsia="es-MX"/>
        </w:rPr>
        <w:t>Se recabar los datos de forma directa con los usuarios y/o familiares del servicio de médico de empleados, con la finalidad identificar al usuario para surtir los medicamentos.</w:t>
      </w:r>
    </w:p>
    <w:p w:rsidR="00D27BB0" w:rsidRPr="00D27BB0" w:rsidRDefault="00D27BB0" w:rsidP="00D27BB0">
      <w:pPr>
        <w:numPr>
          <w:ilvl w:val="0"/>
          <w:numId w:val="19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B0">
        <w:rPr>
          <w:rFonts w:ascii="Arial" w:hAnsi="Arial" w:cs="Arial"/>
          <w:sz w:val="24"/>
          <w:szCs w:val="24"/>
        </w:rPr>
        <w:t>Recepción de recetas de pacientes ambulatorios y hospitalizados, revisión del formato y de los datos presentados en la copia de las identificaciones oficiales.</w:t>
      </w:r>
    </w:p>
    <w:p w:rsidR="00D27BB0" w:rsidRPr="00D27BB0" w:rsidRDefault="00D27BB0" w:rsidP="00D27BB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sz w:val="24"/>
          <w:szCs w:val="24"/>
          <w:lang w:eastAsia="es-MX"/>
        </w:rPr>
      </w:pPr>
      <w:r w:rsidRPr="00D27BB0">
        <w:rPr>
          <w:rFonts w:ascii="Arial" w:eastAsia="Calibri" w:hAnsi="Arial" w:cs="Arial"/>
          <w:sz w:val="24"/>
          <w:szCs w:val="24"/>
          <w:lang w:eastAsia="es-MX"/>
        </w:rPr>
        <w:t>Comprobación de la identidad del paciente y de la persona designada por el paciente para recibir el medicamento, en caso de que el paciente no pueda acudir por su medicamento.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</w:t>
      </w:r>
      <w:r w:rsidRPr="00DF42C0">
        <w:rPr>
          <w:rFonts w:ascii="Arial" w:hAnsi="Arial" w:cs="Arial"/>
          <w:sz w:val="24"/>
          <w:szCs w:val="24"/>
        </w:rPr>
        <w:lastRenderedPageBreak/>
        <w:t xml:space="preserve">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65" w:rsidRDefault="00813665" w:rsidP="0038030A">
      <w:pPr>
        <w:spacing w:after="0" w:line="240" w:lineRule="auto"/>
      </w:pPr>
      <w:r>
        <w:separator/>
      </w:r>
    </w:p>
  </w:endnote>
  <w:endnote w:type="continuationSeparator" w:id="0">
    <w:p w:rsidR="00813665" w:rsidRDefault="00813665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65" w:rsidRDefault="00813665" w:rsidP="0038030A">
      <w:pPr>
        <w:spacing w:after="0" w:line="240" w:lineRule="auto"/>
      </w:pPr>
      <w:r>
        <w:separator/>
      </w:r>
    </w:p>
  </w:footnote>
  <w:footnote w:type="continuationSeparator" w:id="0">
    <w:p w:rsidR="00813665" w:rsidRDefault="00813665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0427A"/>
    <w:multiLevelType w:val="hybridMultilevel"/>
    <w:tmpl w:val="00F289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4E493B"/>
    <w:rsid w:val="0050056D"/>
    <w:rsid w:val="0051363D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13665"/>
    <w:rsid w:val="00856F08"/>
    <w:rsid w:val="00860C24"/>
    <w:rsid w:val="008930DF"/>
    <w:rsid w:val="008960DF"/>
    <w:rsid w:val="008A5AA3"/>
    <w:rsid w:val="008B1A5C"/>
    <w:rsid w:val="008B7EAB"/>
    <w:rsid w:val="0090132D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27BB0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7DC68-374F-460C-A64B-888CDFF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5D5E-781F-4707-A521-2A4D6B92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34</cp:revision>
  <cp:lastPrinted>2020-04-14T20:59:00Z</cp:lastPrinted>
  <dcterms:created xsi:type="dcterms:W3CDTF">2023-03-16T23:02:00Z</dcterms:created>
  <dcterms:modified xsi:type="dcterms:W3CDTF">2024-07-10T20:00:00Z</dcterms:modified>
</cp:coreProperties>
</file>