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AA" w:rsidRDefault="00446BAA" w:rsidP="00446BAA">
      <w:pPr>
        <w:spacing w:after="0" w:line="276" w:lineRule="auto"/>
        <w:jc w:val="center"/>
        <w:rPr>
          <w:rFonts w:ascii="Arial" w:hAnsi="Arial" w:cs="Arial"/>
          <w:b/>
          <w:sz w:val="28"/>
          <w:szCs w:val="28"/>
        </w:rPr>
      </w:pPr>
      <w:r>
        <w:rPr>
          <w:rFonts w:ascii="Arial" w:hAnsi="Arial" w:cs="Arial"/>
          <w:b/>
          <w:sz w:val="28"/>
          <w:szCs w:val="28"/>
        </w:rPr>
        <w:t>AVISO DE PRIVACIDAD INTEGRAL</w:t>
      </w:r>
    </w:p>
    <w:p w:rsidR="00446BAA" w:rsidRDefault="00446BAA" w:rsidP="00446BAA">
      <w:pPr>
        <w:spacing w:after="0" w:line="276" w:lineRule="auto"/>
        <w:jc w:val="center"/>
        <w:rPr>
          <w:rFonts w:ascii="Arial" w:hAnsi="Arial" w:cs="Arial"/>
          <w:b/>
          <w:sz w:val="28"/>
          <w:szCs w:val="28"/>
        </w:rPr>
      </w:pPr>
      <w:r>
        <w:rPr>
          <w:rFonts w:ascii="Arial" w:hAnsi="Arial" w:cs="Arial"/>
          <w:b/>
          <w:sz w:val="28"/>
          <w:szCs w:val="28"/>
        </w:rPr>
        <w:t xml:space="preserve"> COORDINACIÓN GENERAL DE FINANZAS </w:t>
      </w:r>
    </w:p>
    <w:p w:rsidR="00446BAA" w:rsidRDefault="00446BAA" w:rsidP="00446BAA">
      <w:pPr>
        <w:spacing w:after="0" w:line="276" w:lineRule="auto"/>
        <w:jc w:val="center"/>
        <w:rPr>
          <w:rFonts w:ascii="Arial" w:hAnsi="Arial" w:cs="Arial"/>
          <w:b/>
          <w:sz w:val="28"/>
          <w:szCs w:val="28"/>
        </w:rPr>
      </w:pPr>
      <w:r>
        <w:rPr>
          <w:rFonts w:ascii="Arial" w:hAnsi="Arial" w:cs="Arial"/>
          <w:b/>
          <w:sz w:val="28"/>
          <w:szCs w:val="28"/>
        </w:rPr>
        <w:t>“HOSPITAL CIVIL DE GUADALAJARA”</w:t>
      </w:r>
    </w:p>
    <w:p w:rsidR="006161E6" w:rsidRDefault="006161E6" w:rsidP="00446BAA">
      <w:pPr>
        <w:spacing w:after="0" w:line="240" w:lineRule="auto"/>
        <w:ind w:right="49"/>
        <w:jc w:val="both"/>
        <w:rPr>
          <w:rFonts w:ascii="Arial" w:hAnsi="Arial" w:cs="Arial"/>
          <w:b/>
          <w:sz w:val="24"/>
          <w:szCs w:val="24"/>
        </w:rPr>
      </w:pPr>
      <w:bookmarkStart w:id="0" w:name="_GoBack"/>
      <w:bookmarkEnd w:id="0"/>
    </w:p>
    <w:p w:rsidR="006161E6" w:rsidRPr="00736947" w:rsidRDefault="006161E6" w:rsidP="006161E6">
      <w:pPr>
        <w:pStyle w:val="Default"/>
        <w:ind w:right="49"/>
        <w:jc w:val="both"/>
        <w:rPr>
          <w:rFonts w:ascii="Arial" w:hAnsi="Arial" w:cs="Arial"/>
        </w:rPr>
      </w:pPr>
      <w:r w:rsidRPr="00736947">
        <w:rPr>
          <w:rFonts w:ascii="Arial" w:hAnsi="Arial" w:cs="Arial"/>
        </w:rPr>
        <w:t xml:space="preserve">El “Hospital Civil de Guadalajara” con domicilio en Coronel Calderón 777, colonia El Retiro, Código Postal 44280, es la autoridad responsable del tratamiento de los datos personales que se </w:t>
      </w:r>
      <w:r>
        <w:rPr>
          <w:rFonts w:ascii="Arial" w:hAnsi="Arial" w:cs="Arial"/>
        </w:rPr>
        <w:t>recaban en la Coordinación General de Finanzas y al respecto le informa lo siguiente:</w:t>
      </w:r>
    </w:p>
    <w:p w:rsidR="006161E6" w:rsidRPr="003D43D2" w:rsidRDefault="006161E6" w:rsidP="00446BAA">
      <w:pPr>
        <w:spacing w:after="0" w:line="240" w:lineRule="auto"/>
        <w:ind w:right="49"/>
        <w:jc w:val="both"/>
        <w:rPr>
          <w:rFonts w:ascii="Arial" w:hAnsi="Arial" w:cs="Arial"/>
          <w:b/>
          <w:sz w:val="28"/>
          <w:szCs w:val="28"/>
        </w:rPr>
      </w:pPr>
    </w:p>
    <w:p w:rsidR="00446BAA" w:rsidRPr="003D43D2" w:rsidRDefault="00446BAA" w:rsidP="00446BAA">
      <w:pPr>
        <w:spacing w:after="0" w:line="240" w:lineRule="auto"/>
        <w:ind w:right="49"/>
        <w:jc w:val="both"/>
        <w:rPr>
          <w:rFonts w:ascii="Arial" w:hAnsi="Arial" w:cs="Arial"/>
          <w:b/>
          <w:sz w:val="28"/>
          <w:szCs w:val="28"/>
        </w:rPr>
      </w:pPr>
      <w:r w:rsidRPr="003D43D2">
        <w:rPr>
          <w:rFonts w:ascii="Arial" w:hAnsi="Arial" w:cs="Arial"/>
          <w:b/>
          <w:sz w:val="28"/>
          <w:szCs w:val="28"/>
        </w:rPr>
        <w:t>Fundamento legal para el tratamiento de datos personales</w:t>
      </w:r>
      <w:r w:rsidR="003D43D2">
        <w:rPr>
          <w:rFonts w:ascii="Arial" w:hAnsi="Arial" w:cs="Arial"/>
          <w:b/>
          <w:sz w:val="28"/>
          <w:szCs w:val="28"/>
        </w:rPr>
        <w:t>:</w:t>
      </w:r>
    </w:p>
    <w:p w:rsidR="006161E6" w:rsidRDefault="006161E6" w:rsidP="00446BAA">
      <w:pPr>
        <w:spacing w:after="0" w:line="240" w:lineRule="auto"/>
        <w:ind w:right="49"/>
        <w:jc w:val="both"/>
        <w:rPr>
          <w:rFonts w:ascii="Arial" w:hAnsi="Arial" w:cs="Arial"/>
          <w:b/>
          <w:sz w:val="24"/>
          <w:szCs w:val="24"/>
        </w:rPr>
      </w:pPr>
    </w:p>
    <w:p w:rsidR="00446BAA" w:rsidRPr="00B01DD4" w:rsidRDefault="006161E6" w:rsidP="00446BAA">
      <w:pPr>
        <w:spacing w:after="240" w:line="240" w:lineRule="auto"/>
        <w:ind w:right="49"/>
        <w:jc w:val="both"/>
        <w:rPr>
          <w:rFonts w:ascii="Arial" w:hAnsi="Arial" w:cs="Arial"/>
          <w:color w:val="000000" w:themeColor="text1"/>
          <w:sz w:val="24"/>
          <w:szCs w:val="24"/>
        </w:rPr>
      </w:pPr>
      <w:r>
        <w:rPr>
          <w:rFonts w:ascii="Arial" w:hAnsi="Arial" w:cs="Arial"/>
          <w:sz w:val="24"/>
          <w:szCs w:val="24"/>
        </w:rPr>
        <w:t xml:space="preserve">La Coordinación General de Finanzas del Hospital Civil de Guadalajara </w:t>
      </w:r>
      <w:r w:rsidR="003D43D2">
        <w:rPr>
          <w:rFonts w:ascii="Arial" w:hAnsi="Arial" w:cs="Arial"/>
          <w:sz w:val="24"/>
          <w:szCs w:val="24"/>
        </w:rPr>
        <w:t>tra</w:t>
      </w:r>
      <w:r>
        <w:rPr>
          <w:rFonts w:ascii="Arial" w:hAnsi="Arial" w:cs="Arial"/>
          <w:sz w:val="24"/>
          <w:szCs w:val="24"/>
        </w:rPr>
        <w:t xml:space="preserve">ta los datos personales de conformidad con lo dispuesto en los </w:t>
      </w:r>
      <w:r>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D21344">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446BAA" w:rsidRPr="00373E21">
        <w:rPr>
          <w:rFonts w:ascii="Arial" w:hAnsi="Arial" w:cs="Arial"/>
          <w:sz w:val="24"/>
          <w:szCs w:val="24"/>
        </w:rPr>
        <w:t xml:space="preserve"> artículo 4 fracciones XV, XVI y XVII,  de la Ley General de Contabilidad </w:t>
      </w:r>
      <w:r w:rsidR="00446BAA" w:rsidRPr="00373E21">
        <w:rPr>
          <w:rFonts w:ascii="Arial" w:hAnsi="Arial" w:cs="Arial"/>
          <w:color w:val="000000" w:themeColor="text1"/>
          <w:sz w:val="24"/>
          <w:szCs w:val="24"/>
        </w:rPr>
        <w:t>Gubernamental; artículos 76 fracciones XI, XII, 78 y 87 de la Ley de Compras Gubernamentales,</w:t>
      </w:r>
      <w:r w:rsidR="00446BAA" w:rsidRPr="00373E21">
        <w:rPr>
          <w:rFonts w:ascii="Arial" w:hAnsi="Arial" w:cs="Arial"/>
          <w:color w:val="FF0000"/>
          <w:sz w:val="24"/>
          <w:szCs w:val="24"/>
        </w:rPr>
        <w:t xml:space="preserve"> </w:t>
      </w:r>
      <w:r w:rsidR="00446BAA" w:rsidRPr="00373E21">
        <w:rPr>
          <w:rFonts w:ascii="Arial" w:hAnsi="Arial" w:cs="Arial"/>
          <w:color w:val="000000" w:themeColor="text1"/>
          <w:sz w:val="24"/>
          <w:szCs w:val="24"/>
        </w:rPr>
        <w:t>Enajenaciones y Contratación de Servicios del Estado de Jalisco y sus Municipios,</w:t>
      </w:r>
      <w:r w:rsidR="00446BAA" w:rsidRPr="00373E21">
        <w:rPr>
          <w:rFonts w:ascii="Arial" w:hAnsi="Arial" w:cs="Arial"/>
          <w:color w:val="FF0000"/>
          <w:sz w:val="24"/>
          <w:szCs w:val="24"/>
        </w:rPr>
        <w:t xml:space="preserve"> </w:t>
      </w:r>
      <w:r w:rsidR="00446BAA" w:rsidRPr="00373E21">
        <w:rPr>
          <w:rFonts w:ascii="Arial" w:hAnsi="Arial" w:cs="Arial"/>
          <w:color w:val="000000" w:themeColor="text1"/>
          <w:sz w:val="24"/>
          <w:szCs w:val="24"/>
        </w:rPr>
        <w:t>así como el artículo 101 del Reglamento de la Ley de Compras Gubernamentales, Enajenaciones y Contratación de Servicios del Estado de Jalisco y sus Municipios</w:t>
      </w:r>
      <w:r>
        <w:rPr>
          <w:rFonts w:ascii="Arial" w:hAnsi="Arial" w:cs="Arial"/>
          <w:color w:val="000000" w:themeColor="text1"/>
          <w:sz w:val="24"/>
          <w:szCs w:val="24"/>
        </w:rPr>
        <w:t>.</w:t>
      </w:r>
    </w:p>
    <w:p w:rsidR="006161E6" w:rsidRPr="006161E6" w:rsidRDefault="006161E6" w:rsidP="006161E6">
      <w:pPr>
        <w:spacing w:before="240" w:after="240"/>
        <w:ind w:right="49"/>
        <w:jc w:val="both"/>
        <w:rPr>
          <w:rFonts w:ascii="Arial" w:hAnsi="Arial" w:cs="Arial"/>
          <w:b/>
          <w:sz w:val="28"/>
          <w:szCs w:val="28"/>
        </w:rPr>
      </w:pPr>
      <w:r w:rsidRPr="006161E6">
        <w:rPr>
          <w:rFonts w:ascii="Arial" w:hAnsi="Arial" w:cs="Arial"/>
          <w:b/>
          <w:sz w:val="28"/>
          <w:szCs w:val="28"/>
        </w:rPr>
        <w:t>Datos personales que se recaban:</w:t>
      </w:r>
    </w:p>
    <w:p w:rsidR="006161E6" w:rsidRDefault="006161E6" w:rsidP="006161E6">
      <w:pPr>
        <w:pStyle w:val="Prrafodelista"/>
        <w:numPr>
          <w:ilvl w:val="0"/>
          <w:numId w:val="1"/>
        </w:numPr>
        <w:ind w:right="49"/>
        <w:jc w:val="both"/>
        <w:rPr>
          <w:rFonts w:ascii="Arial" w:hAnsi="Arial" w:cs="Arial"/>
          <w:sz w:val="24"/>
          <w:szCs w:val="24"/>
        </w:rPr>
      </w:pPr>
      <w:r>
        <w:rPr>
          <w:rFonts w:ascii="Arial" w:hAnsi="Arial" w:cs="Arial"/>
          <w:sz w:val="24"/>
          <w:szCs w:val="24"/>
        </w:rPr>
        <w:t xml:space="preserve">Nombre o Razón Social </w:t>
      </w:r>
    </w:p>
    <w:p w:rsidR="006161E6" w:rsidRDefault="006161E6" w:rsidP="006161E6">
      <w:pPr>
        <w:pStyle w:val="Prrafodelista"/>
        <w:numPr>
          <w:ilvl w:val="0"/>
          <w:numId w:val="1"/>
        </w:numPr>
        <w:ind w:right="49"/>
        <w:jc w:val="both"/>
        <w:rPr>
          <w:rFonts w:ascii="Arial" w:hAnsi="Arial" w:cs="Arial"/>
          <w:sz w:val="24"/>
          <w:szCs w:val="24"/>
        </w:rPr>
      </w:pPr>
      <w:r>
        <w:rPr>
          <w:rFonts w:ascii="Arial" w:hAnsi="Arial" w:cs="Arial"/>
          <w:sz w:val="24"/>
          <w:szCs w:val="24"/>
        </w:rPr>
        <w:t>Registro Federal de Contribuyentes</w:t>
      </w:r>
    </w:p>
    <w:p w:rsidR="006161E6" w:rsidRDefault="006161E6" w:rsidP="006161E6">
      <w:pPr>
        <w:pStyle w:val="Prrafodelista"/>
        <w:numPr>
          <w:ilvl w:val="0"/>
          <w:numId w:val="1"/>
        </w:numPr>
        <w:ind w:right="49"/>
        <w:jc w:val="both"/>
        <w:rPr>
          <w:rFonts w:ascii="Arial" w:hAnsi="Arial" w:cs="Arial"/>
          <w:sz w:val="24"/>
          <w:szCs w:val="24"/>
        </w:rPr>
      </w:pPr>
      <w:r>
        <w:rPr>
          <w:rFonts w:ascii="Arial" w:hAnsi="Arial" w:cs="Arial"/>
          <w:sz w:val="24"/>
          <w:szCs w:val="24"/>
        </w:rPr>
        <w:t>Domicilio</w:t>
      </w:r>
    </w:p>
    <w:p w:rsidR="006161E6" w:rsidRDefault="006161E6" w:rsidP="006161E6">
      <w:pPr>
        <w:pStyle w:val="Prrafodelista"/>
        <w:numPr>
          <w:ilvl w:val="0"/>
          <w:numId w:val="1"/>
        </w:numPr>
        <w:ind w:right="49"/>
        <w:jc w:val="both"/>
        <w:rPr>
          <w:rFonts w:ascii="Arial" w:hAnsi="Arial" w:cs="Arial"/>
          <w:sz w:val="24"/>
          <w:szCs w:val="24"/>
        </w:rPr>
      </w:pPr>
      <w:r>
        <w:rPr>
          <w:rFonts w:ascii="Arial" w:hAnsi="Arial" w:cs="Arial"/>
          <w:sz w:val="24"/>
          <w:szCs w:val="24"/>
        </w:rPr>
        <w:t>Cuenta, clave interbancaria</w:t>
      </w:r>
    </w:p>
    <w:p w:rsidR="006161E6" w:rsidRDefault="006161E6" w:rsidP="006161E6">
      <w:pPr>
        <w:pStyle w:val="Prrafodelista"/>
        <w:numPr>
          <w:ilvl w:val="0"/>
          <w:numId w:val="1"/>
        </w:numPr>
        <w:ind w:right="49"/>
        <w:jc w:val="both"/>
        <w:rPr>
          <w:rFonts w:ascii="Arial" w:hAnsi="Arial" w:cs="Arial"/>
          <w:sz w:val="24"/>
          <w:szCs w:val="24"/>
        </w:rPr>
      </w:pPr>
      <w:r>
        <w:rPr>
          <w:rFonts w:ascii="Arial" w:hAnsi="Arial" w:cs="Arial"/>
          <w:sz w:val="24"/>
          <w:szCs w:val="24"/>
        </w:rPr>
        <w:t>Número telefónico</w:t>
      </w:r>
    </w:p>
    <w:p w:rsidR="006161E6" w:rsidRDefault="006161E6" w:rsidP="006161E6">
      <w:pPr>
        <w:pStyle w:val="Prrafodelista"/>
        <w:numPr>
          <w:ilvl w:val="0"/>
          <w:numId w:val="1"/>
        </w:numPr>
        <w:ind w:right="49"/>
        <w:jc w:val="both"/>
        <w:rPr>
          <w:rFonts w:ascii="Arial" w:hAnsi="Arial" w:cs="Arial"/>
          <w:sz w:val="24"/>
          <w:szCs w:val="24"/>
        </w:rPr>
      </w:pPr>
      <w:r>
        <w:rPr>
          <w:rFonts w:ascii="Arial" w:hAnsi="Arial" w:cs="Arial"/>
          <w:sz w:val="24"/>
          <w:szCs w:val="24"/>
        </w:rPr>
        <w:t xml:space="preserve">Correo Electrónico </w:t>
      </w:r>
    </w:p>
    <w:p w:rsidR="006161E6" w:rsidRDefault="006161E6" w:rsidP="006161E6">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lastRenderedPageBreak/>
        <w:t>Los datos personales anteriormente referidos se recaban a través de órdenes de compra, facturas y plataforma.</w:t>
      </w:r>
    </w:p>
    <w:p w:rsidR="00446BAA" w:rsidRPr="006161E6" w:rsidRDefault="00446BAA" w:rsidP="003D43D2">
      <w:pPr>
        <w:pStyle w:val="Default"/>
        <w:spacing w:before="240"/>
        <w:ind w:right="49"/>
        <w:jc w:val="both"/>
        <w:rPr>
          <w:rFonts w:ascii="Arial" w:hAnsi="Arial" w:cs="Arial"/>
          <w:b/>
          <w:bCs/>
          <w:sz w:val="28"/>
          <w:szCs w:val="28"/>
        </w:rPr>
      </w:pPr>
      <w:r w:rsidRPr="006161E6">
        <w:rPr>
          <w:rFonts w:ascii="Arial" w:hAnsi="Arial" w:cs="Arial"/>
          <w:b/>
          <w:bCs/>
          <w:sz w:val="28"/>
          <w:szCs w:val="28"/>
        </w:rPr>
        <w:t>Finalidades del tratamiento</w:t>
      </w:r>
      <w:r w:rsidR="006161E6">
        <w:rPr>
          <w:rFonts w:ascii="Arial" w:hAnsi="Arial" w:cs="Arial"/>
          <w:b/>
          <w:bCs/>
          <w:sz w:val="28"/>
          <w:szCs w:val="28"/>
        </w:rPr>
        <w:t>:</w:t>
      </w:r>
      <w:r w:rsidRPr="006161E6">
        <w:rPr>
          <w:rFonts w:ascii="Arial" w:hAnsi="Arial" w:cs="Arial"/>
          <w:b/>
          <w:bCs/>
          <w:sz w:val="28"/>
          <w:szCs w:val="28"/>
        </w:rPr>
        <w:t xml:space="preserve"> </w:t>
      </w:r>
    </w:p>
    <w:p w:rsidR="00446BAA" w:rsidRDefault="00446BAA" w:rsidP="003D43D2">
      <w:pPr>
        <w:spacing w:before="240" w:after="0"/>
        <w:ind w:right="49"/>
        <w:jc w:val="both"/>
        <w:rPr>
          <w:rFonts w:ascii="Arial" w:hAnsi="Arial" w:cs="Arial"/>
          <w:sz w:val="24"/>
          <w:szCs w:val="24"/>
        </w:rPr>
      </w:pPr>
      <w:r>
        <w:rPr>
          <w:rFonts w:ascii="Arial" w:hAnsi="Arial" w:cs="Arial"/>
          <w:sz w:val="24"/>
          <w:szCs w:val="24"/>
        </w:rPr>
        <w:t>Los datos personales que se recaban y administran serán tratados para:</w:t>
      </w:r>
    </w:p>
    <w:p w:rsidR="000C7FB3" w:rsidRDefault="000C7FB3" w:rsidP="000C7FB3">
      <w:pPr>
        <w:pStyle w:val="Prrafodelista"/>
        <w:spacing w:after="0"/>
        <w:jc w:val="both"/>
        <w:rPr>
          <w:rFonts w:ascii="Arial" w:hAnsi="Arial" w:cs="Arial"/>
          <w:sz w:val="24"/>
          <w:szCs w:val="24"/>
        </w:rPr>
      </w:pPr>
    </w:p>
    <w:p w:rsidR="00446BAA" w:rsidRPr="00DB75BC" w:rsidRDefault="00446BAA" w:rsidP="003D43D2">
      <w:pPr>
        <w:pStyle w:val="Prrafodelista"/>
        <w:numPr>
          <w:ilvl w:val="0"/>
          <w:numId w:val="2"/>
        </w:numPr>
        <w:spacing w:after="0"/>
        <w:jc w:val="both"/>
        <w:rPr>
          <w:rFonts w:ascii="Arial" w:hAnsi="Arial" w:cs="Arial"/>
          <w:sz w:val="24"/>
          <w:szCs w:val="24"/>
        </w:rPr>
      </w:pPr>
      <w:r>
        <w:rPr>
          <w:rFonts w:ascii="Arial" w:hAnsi="Arial" w:cs="Arial"/>
          <w:sz w:val="24"/>
          <w:szCs w:val="24"/>
        </w:rPr>
        <w:t xml:space="preserve">Recepción </w:t>
      </w:r>
      <w:r w:rsidRPr="00DB75BC">
        <w:rPr>
          <w:rFonts w:ascii="Arial" w:hAnsi="Arial" w:cs="Arial"/>
          <w:sz w:val="24"/>
          <w:szCs w:val="24"/>
        </w:rPr>
        <w:t xml:space="preserve">de facturas para trámite de pago </w:t>
      </w:r>
    </w:p>
    <w:p w:rsidR="00446BAA" w:rsidRDefault="00446BAA" w:rsidP="003D43D2">
      <w:pPr>
        <w:pStyle w:val="Prrafodelista"/>
        <w:numPr>
          <w:ilvl w:val="0"/>
          <w:numId w:val="2"/>
        </w:numPr>
        <w:spacing w:after="0"/>
        <w:jc w:val="both"/>
        <w:rPr>
          <w:rFonts w:ascii="Arial" w:hAnsi="Arial" w:cs="Arial"/>
          <w:sz w:val="24"/>
          <w:szCs w:val="24"/>
          <w:lang w:val="es-ES_tradnl"/>
        </w:rPr>
      </w:pPr>
      <w:r w:rsidRPr="00DB75BC">
        <w:rPr>
          <w:rFonts w:ascii="Arial" w:hAnsi="Arial" w:cs="Arial"/>
          <w:sz w:val="24"/>
          <w:szCs w:val="24"/>
          <w:lang w:val="es-ES_tradnl"/>
        </w:rPr>
        <w:t xml:space="preserve">Emisión de contra recibos para pago </w:t>
      </w:r>
    </w:p>
    <w:p w:rsidR="00446BAA" w:rsidRPr="00DB75BC" w:rsidRDefault="00446BAA" w:rsidP="003D43D2">
      <w:pPr>
        <w:pStyle w:val="Prrafodelista"/>
        <w:numPr>
          <w:ilvl w:val="0"/>
          <w:numId w:val="2"/>
        </w:numPr>
        <w:spacing w:after="0"/>
        <w:jc w:val="both"/>
        <w:rPr>
          <w:rFonts w:ascii="Arial" w:hAnsi="Arial" w:cs="Arial"/>
          <w:sz w:val="24"/>
          <w:szCs w:val="24"/>
        </w:rPr>
      </w:pPr>
      <w:r>
        <w:rPr>
          <w:rFonts w:ascii="Arial" w:hAnsi="Arial" w:cs="Arial"/>
          <w:sz w:val="24"/>
          <w:szCs w:val="24"/>
          <w:lang w:val="es-ES_tradnl"/>
        </w:rPr>
        <w:t xml:space="preserve">Pago de facturas </w:t>
      </w:r>
    </w:p>
    <w:p w:rsidR="00446BAA" w:rsidRDefault="00446BAA" w:rsidP="003D43D2">
      <w:pPr>
        <w:spacing w:after="0" w:line="240" w:lineRule="auto"/>
        <w:ind w:right="49"/>
        <w:jc w:val="both"/>
        <w:rPr>
          <w:rFonts w:ascii="Arial" w:hAnsi="Arial" w:cs="Arial"/>
          <w:color w:val="000000" w:themeColor="text1"/>
          <w:sz w:val="24"/>
          <w:szCs w:val="24"/>
        </w:rPr>
      </w:pPr>
    </w:p>
    <w:p w:rsidR="00446BAA" w:rsidRPr="003D43D2" w:rsidRDefault="00446BAA" w:rsidP="003D43D2">
      <w:pPr>
        <w:spacing w:after="0" w:line="240" w:lineRule="auto"/>
        <w:ind w:right="49"/>
        <w:jc w:val="both"/>
        <w:rPr>
          <w:rFonts w:ascii="Arial" w:hAnsi="Arial" w:cs="Arial"/>
          <w:b/>
          <w:sz w:val="28"/>
          <w:szCs w:val="28"/>
        </w:rPr>
      </w:pPr>
      <w:r w:rsidRPr="003D43D2">
        <w:rPr>
          <w:rFonts w:ascii="Arial" w:hAnsi="Arial" w:cs="Arial"/>
          <w:b/>
          <w:sz w:val="28"/>
          <w:szCs w:val="28"/>
        </w:rPr>
        <w:t xml:space="preserve">Ejercicio de derechos de Acceso, Rectificación; Cancelación y Oposición, (Derechos ARCO) </w:t>
      </w:r>
    </w:p>
    <w:p w:rsidR="00446BAA" w:rsidRDefault="00446BAA" w:rsidP="003D43D2">
      <w:pPr>
        <w:spacing w:after="0" w:line="240" w:lineRule="auto"/>
        <w:ind w:left="709" w:right="49"/>
        <w:jc w:val="both"/>
        <w:rPr>
          <w:rFonts w:ascii="Arial" w:hAnsi="Arial" w:cs="Arial"/>
          <w:b/>
          <w:color w:val="1F3864" w:themeColor="accent5" w:themeShade="80"/>
          <w:sz w:val="24"/>
          <w:szCs w:val="24"/>
        </w:rPr>
      </w:pPr>
    </w:p>
    <w:p w:rsidR="00446BAA" w:rsidRDefault="00446BAA" w:rsidP="00446BAA">
      <w:pPr>
        <w:spacing w:after="0" w:line="240" w:lineRule="auto"/>
        <w:jc w:val="both"/>
        <w:rPr>
          <w:rFonts w:ascii="Arial" w:hAnsi="Arial" w:cs="Arial"/>
          <w:color w:val="0563C1" w:themeColor="hyperlink"/>
          <w:sz w:val="24"/>
          <w:szCs w:val="24"/>
          <w:u w:val="single"/>
        </w:rPr>
      </w:pPr>
      <w:r>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Pr>
            <w:rStyle w:val="Hipervnculo"/>
            <w:rFonts w:ascii="Arial" w:hAnsi="Arial" w:cs="Arial"/>
            <w:sz w:val="24"/>
            <w:szCs w:val="24"/>
          </w:rPr>
          <w:t>http://www.plataformadetransparencia.org.mx/</w:t>
        </w:r>
      </w:hyperlink>
      <w:r>
        <w:rPr>
          <w:rFonts w:ascii="Arial" w:hAnsi="Arial" w:cs="Arial"/>
          <w:b/>
          <w:sz w:val="24"/>
          <w:szCs w:val="24"/>
        </w:rPr>
        <w:t xml:space="preserve">), </w:t>
      </w:r>
      <w:r>
        <w:rPr>
          <w:rFonts w:ascii="Arial" w:hAnsi="Arial" w:cs="Arial"/>
          <w:sz w:val="24"/>
          <w:szCs w:val="24"/>
        </w:rPr>
        <w:t xml:space="preserve">o al correo electrónico </w:t>
      </w:r>
      <w:hyperlink r:id="rId8" w:history="1">
        <w:r>
          <w:rPr>
            <w:rStyle w:val="Hipervnculo"/>
            <w:rFonts w:ascii="Arial" w:hAnsi="Arial" w:cs="Arial"/>
            <w:sz w:val="24"/>
            <w:szCs w:val="24"/>
          </w:rPr>
          <w:t>transparencia@hcg.gob.mx</w:t>
        </w:r>
      </w:hyperlink>
      <w:r>
        <w:rPr>
          <w:rFonts w:ascii="Arial" w:hAnsi="Arial" w:cs="Arial"/>
          <w:color w:val="0563C1" w:themeColor="hyperlink"/>
          <w:sz w:val="24"/>
          <w:szCs w:val="24"/>
          <w:u w:val="single"/>
        </w:rPr>
        <w:t>.</w:t>
      </w:r>
    </w:p>
    <w:p w:rsidR="003D43D2" w:rsidRDefault="003D43D2" w:rsidP="00446BAA">
      <w:pPr>
        <w:spacing w:after="0" w:line="240" w:lineRule="auto"/>
        <w:jc w:val="both"/>
        <w:rPr>
          <w:rFonts w:ascii="Arial" w:hAnsi="Arial" w:cs="Arial"/>
          <w:color w:val="0563C1" w:themeColor="hyperlink"/>
          <w:sz w:val="24"/>
          <w:szCs w:val="24"/>
          <w:u w:val="single"/>
        </w:rPr>
      </w:pPr>
    </w:p>
    <w:p w:rsidR="003D43D2" w:rsidRPr="003D43D2" w:rsidRDefault="003D43D2" w:rsidP="003D43D2">
      <w:pPr>
        <w:spacing w:line="254" w:lineRule="auto"/>
        <w:rPr>
          <w:rFonts w:ascii="Arial" w:hAnsi="Arial" w:cs="Arial"/>
          <w:b/>
          <w:sz w:val="28"/>
          <w:szCs w:val="28"/>
        </w:rPr>
      </w:pPr>
      <w:r w:rsidRPr="003D43D2">
        <w:rPr>
          <w:rFonts w:ascii="Arial" w:hAnsi="Arial" w:cs="Arial"/>
          <w:b/>
          <w:sz w:val="28"/>
          <w:szCs w:val="28"/>
        </w:rPr>
        <w:t>Consulta del aviso de privacidad integral:</w:t>
      </w:r>
    </w:p>
    <w:p w:rsidR="003D43D2" w:rsidRPr="003D43D2" w:rsidRDefault="003D43D2" w:rsidP="003D43D2">
      <w:pPr>
        <w:spacing w:after="0" w:line="240" w:lineRule="auto"/>
        <w:jc w:val="both"/>
        <w:rPr>
          <w:rFonts w:ascii="Arial" w:hAnsi="Arial" w:cs="Arial"/>
          <w:color w:val="0563C1" w:themeColor="hyperlink"/>
          <w:sz w:val="24"/>
          <w:szCs w:val="24"/>
          <w:u w:val="single"/>
        </w:rPr>
      </w:pPr>
      <w:r w:rsidRPr="003D43D2">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9" w:history="1">
        <w:r w:rsidRPr="003D43D2">
          <w:rPr>
            <w:rFonts w:ascii="Arial" w:hAnsi="Arial" w:cs="Arial"/>
            <w:color w:val="0563C1" w:themeColor="hyperlink"/>
            <w:sz w:val="24"/>
            <w:szCs w:val="24"/>
            <w:u w:val="single"/>
          </w:rPr>
          <w:t>www.hcg.udg.mx</w:t>
        </w:r>
      </w:hyperlink>
    </w:p>
    <w:p w:rsidR="00446BAA" w:rsidRPr="003D43D2" w:rsidRDefault="00446BAA" w:rsidP="00446BAA">
      <w:pPr>
        <w:spacing w:after="0" w:line="240" w:lineRule="auto"/>
        <w:ind w:right="49"/>
        <w:jc w:val="both"/>
        <w:rPr>
          <w:rFonts w:ascii="Arial" w:hAnsi="Arial" w:cs="Arial"/>
          <w:sz w:val="28"/>
          <w:szCs w:val="28"/>
        </w:rPr>
      </w:pPr>
    </w:p>
    <w:p w:rsidR="00446BAA" w:rsidRPr="003D43D2" w:rsidRDefault="00446BAA" w:rsidP="00446BAA">
      <w:pPr>
        <w:spacing w:after="0" w:line="240" w:lineRule="auto"/>
        <w:ind w:right="49"/>
        <w:jc w:val="both"/>
        <w:rPr>
          <w:rFonts w:ascii="Arial" w:hAnsi="Arial" w:cs="Arial"/>
          <w:b/>
          <w:sz w:val="28"/>
          <w:szCs w:val="28"/>
        </w:rPr>
      </w:pPr>
      <w:r w:rsidRPr="003D43D2">
        <w:rPr>
          <w:rFonts w:ascii="Arial" w:hAnsi="Arial" w:cs="Arial"/>
          <w:b/>
          <w:sz w:val="28"/>
          <w:szCs w:val="28"/>
        </w:rPr>
        <w:t>Cambios al aviso de privacidad</w:t>
      </w:r>
      <w:r w:rsidR="003D43D2">
        <w:rPr>
          <w:rFonts w:ascii="Arial" w:hAnsi="Arial" w:cs="Arial"/>
          <w:b/>
          <w:sz w:val="28"/>
          <w:szCs w:val="28"/>
        </w:rPr>
        <w:t>:</w:t>
      </w:r>
    </w:p>
    <w:p w:rsidR="00446BAA" w:rsidRDefault="00446BAA" w:rsidP="00446BAA">
      <w:pPr>
        <w:spacing w:after="0" w:line="240" w:lineRule="auto"/>
        <w:ind w:right="49"/>
        <w:jc w:val="both"/>
        <w:rPr>
          <w:rFonts w:ascii="Arial" w:hAnsi="Arial" w:cs="Arial"/>
          <w:sz w:val="24"/>
          <w:szCs w:val="24"/>
        </w:rPr>
      </w:pPr>
    </w:p>
    <w:p w:rsidR="00446BAA" w:rsidRDefault="00446BAA" w:rsidP="00446BAA">
      <w:pPr>
        <w:spacing w:after="0" w:line="240" w:lineRule="auto"/>
        <w:ind w:right="49"/>
        <w:jc w:val="both"/>
        <w:rPr>
          <w:rFonts w:ascii="Arial" w:hAnsi="Arial" w:cs="Arial"/>
          <w:sz w:val="24"/>
          <w:szCs w:val="24"/>
        </w:rPr>
      </w:pPr>
      <w:r>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Pr>
            <w:rStyle w:val="Hipervnculo"/>
            <w:rFonts w:ascii="Arial" w:hAnsi="Arial" w:cs="Arial"/>
            <w:sz w:val="24"/>
            <w:szCs w:val="24"/>
          </w:rPr>
          <w:t>www.hcg.udg.mx</w:t>
        </w:r>
      </w:hyperlink>
      <w:r>
        <w:rPr>
          <w:rFonts w:ascii="Arial" w:hAnsi="Arial" w:cs="Arial"/>
          <w:sz w:val="24"/>
          <w:szCs w:val="24"/>
        </w:rPr>
        <w:t>.</w:t>
      </w:r>
    </w:p>
    <w:p w:rsidR="00446BAA" w:rsidRDefault="00446BAA" w:rsidP="00446BAA">
      <w:pPr>
        <w:spacing w:after="0" w:line="360" w:lineRule="auto"/>
        <w:jc w:val="center"/>
        <w:rPr>
          <w:rFonts w:ascii="Arial" w:hAnsi="Arial" w:cs="Arial"/>
          <w:color w:val="000000"/>
          <w:sz w:val="24"/>
          <w:szCs w:val="24"/>
        </w:rPr>
      </w:pPr>
    </w:p>
    <w:p w:rsidR="00446BAA" w:rsidRDefault="00446BAA" w:rsidP="00446BAA">
      <w:pPr>
        <w:spacing w:after="0" w:line="276" w:lineRule="auto"/>
        <w:jc w:val="center"/>
        <w:rPr>
          <w:rFonts w:ascii="Arial" w:hAnsi="Arial" w:cs="Arial"/>
          <w:color w:val="000000"/>
          <w:sz w:val="24"/>
          <w:szCs w:val="24"/>
        </w:rPr>
      </w:pPr>
    </w:p>
    <w:p w:rsidR="00446BAA" w:rsidRPr="003D43D2" w:rsidRDefault="00446BAA" w:rsidP="00446BAA">
      <w:pPr>
        <w:spacing w:after="0" w:line="276" w:lineRule="auto"/>
        <w:jc w:val="center"/>
        <w:rPr>
          <w:rFonts w:ascii="Arial" w:hAnsi="Arial" w:cs="Arial"/>
          <w:b/>
          <w:sz w:val="24"/>
          <w:szCs w:val="24"/>
        </w:rPr>
      </w:pPr>
      <w:r w:rsidRPr="003D43D2">
        <w:rPr>
          <w:rFonts w:ascii="Arial" w:hAnsi="Arial" w:cs="Arial"/>
          <w:b/>
          <w:color w:val="000000"/>
          <w:sz w:val="24"/>
          <w:szCs w:val="24"/>
        </w:rPr>
        <w:t>Coordinación General de Mejora Regulatoria y Transparencia.</w:t>
      </w:r>
      <w:r w:rsidRPr="003D43D2">
        <w:rPr>
          <w:rFonts w:ascii="Arial" w:hAnsi="Arial" w:cs="Arial"/>
          <w:b/>
          <w:color w:val="000000"/>
          <w:sz w:val="24"/>
          <w:szCs w:val="24"/>
        </w:rPr>
        <w:br/>
        <w:t>Coronel Calderón #777, Col El Retiro. Guadalajara Jal.</w:t>
      </w:r>
    </w:p>
    <w:p w:rsidR="00446BAA" w:rsidRPr="003D43D2" w:rsidRDefault="00446BAA" w:rsidP="00446BAA">
      <w:pPr>
        <w:spacing w:after="0" w:line="276" w:lineRule="auto"/>
        <w:jc w:val="center"/>
        <w:rPr>
          <w:rFonts w:ascii="Arial" w:hAnsi="Arial" w:cs="Arial"/>
          <w:b/>
          <w:color w:val="000000"/>
          <w:sz w:val="24"/>
          <w:szCs w:val="24"/>
        </w:rPr>
      </w:pPr>
      <w:r w:rsidRPr="003D43D2">
        <w:rPr>
          <w:rFonts w:ascii="Arial" w:hAnsi="Arial" w:cs="Arial"/>
          <w:b/>
          <w:color w:val="000000"/>
          <w:sz w:val="24"/>
          <w:szCs w:val="24"/>
        </w:rPr>
        <w:t>Correo electrónico: transparencia@hcg.gob.mx</w:t>
      </w:r>
    </w:p>
    <w:p w:rsidR="006161E6" w:rsidRDefault="00446BAA" w:rsidP="008F59E9">
      <w:pPr>
        <w:spacing w:after="0" w:line="276" w:lineRule="auto"/>
        <w:jc w:val="center"/>
      </w:pPr>
      <w:r w:rsidRPr="003D43D2">
        <w:rPr>
          <w:rFonts w:ascii="Arial" w:hAnsi="Arial" w:cs="Arial"/>
          <w:b/>
          <w:color w:val="000000"/>
          <w:sz w:val="24"/>
          <w:szCs w:val="24"/>
        </w:rPr>
        <w:t>Tel. (33) 39 42 4420 y 39 42 4400 ext. 41135</w:t>
      </w:r>
      <w:r>
        <w:rPr>
          <w:rFonts w:ascii="Arial" w:hAnsi="Arial" w:cs="Arial"/>
          <w:color w:val="000000"/>
          <w:sz w:val="24"/>
          <w:szCs w:val="24"/>
        </w:rPr>
        <w:t>.</w:t>
      </w:r>
      <w:r w:rsidR="00CF4C18">
        <w:rPr>
          <w:rFonts w:ascii="Arial" w:hAnsi="Arial" w:cs="Arial"/>
          <w:b/>
          <w:color w:val="000000" w:themeColor="text1"/>
          <w:sz w:val="24"/>
          <w:szCs w:val="24"/>
        </w:rPr>
        <w:t xml:space="preserve"> </w:t>
      </w:r>
    </w:p>
    <w:sectPr w:rsidR="006161E6"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0F" w:rsidRDefault="00AE5C0F" w:rsidP="0038030A">
      <w:pPr>
        <w:spacing w:after="0" w:line="240" w:lineRule="auto"/>
      </w:pPr>
      <w:r>
        <w:separator/>
      </w:r>
    </w:p>
  </w:endnote>
  <w:endnote w:type="continuationSeparator" w:id="0">
    <w:p w:rsidR="00AE5C0F" w:rsidRDefault="00AE5C0F"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0F" w:rsidRDefault="00AE5C0F" w:rsidP="0038030A">
      <w:pPr>
        <w:spacing w:after="0" w:line="240" w:lineRule="auto"/>
      </w:pPr>
      <w:r>
        <w:separator/>
      </w:r>
    </w:p>
  </w:footnote>
  <w:footnote w:type="continuationSeparator" w:id="0">
    <w:p w:rsidR="00AE5C0F" w:rsidRDefault="00AE5C0F"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624C2"/>
    <w:rsid w:val="000C7FB3"/>
    <w:rsid w:val="000F1E55"/>
    <w:rsid w:val="00246B10"/>
    <w:rsid w:val="0038030A"/>
    <w:rsid w:val="003910F9"/>
    <w:rsid w:val="003D43D2"/>
    <w:rsid w:val="00446BAA"/>
    <w:rsid w:val="00460DBE"/>
    <w:rsid w:val="004749A7"/>
    <w:rsid w:val="0050056D"/>
    <w:rsid w:val="0051363D"/>
    <w:rsid w:val="006161E6"/>
    <w:rsid w:val="006D51A9"/>
    <w:rsid w:val="007B49C7"/>
    <w:rsid w:val="008A5AA3"/>
    <w:rsid w:val="008F59E9"/>
    <w:rsid w:val="00A7131C"/>
    <w:rsid w:val="00AE5C0F"/>
    <w:rsid w:val="00C31CAE"/>
    <w:rsid w:val="00C46843"/>
    <w:rsid w:val="00CC1B1A"/>
    <w:rsid w:val="00CF4C18"/>
    <w:rsid w:val="00D21344"/>
    <w:rsid w:val="00D629BF"/>
    <w:rsid w:val="00D80690"/>
    <w:rsid w:val="00D923D6"/>
    <w:rsid w:val="00DE4E1E"/>
    <w:rsid w:val="00DF52CD"/>
    <w:rsid w:val="00EF2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30E74B-9D22-4505-8318-F56A72F9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C468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3</cp:revision>
  <cp:lastPrinted>2019-11-06T21:30:00Z</cp:lastPrinted>
  <dcterms:created xsi:type="dcterms:W3CDTF">2020-04-30T18:12:00Z</dcterms:created>
  <dcterms:modified xsi:type="dcterms:W3CDTF">2020-05-12T17:24:00Z</dcterms:modified>
</cp:coreProperties>
</file>